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Sample conversion check</w:t>
      </w:r>
    </w:p>
    <w:p>
      <w:r>
        <w:t>English and русский текст</w:t>
      </w:r>
    </w:p>
    <w:p>
      <w:r>
        <w:t>Invoice 2026: total 148.50 USD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t>Item</w:t>
            </w:r>
          </w:p>
        </w:tc>
        <w:tc>
          <w:p>
            <w:r>
              <w:t>Quantity</w:t>
            </w:r>
          </w:p>
        </w:tc>
      </w:tr>
      <w:tr>
        <w:tc>
          <w:p>
            <w:r>
              <w:t>Example</w:t>
            </w:r>
          </w:p>
        </w:tc>
        <w:tc>
          <w:p>
            <w:r>
              <w:t>12</w:t>
            </w:r>
          </w:p>
        </w:tc>
      </w:tr>
    </w:tbl>
    <w:p>
      <w:r>
        <w:br w:type="page"/>
      </w:r>
    </w:p>
    <w:p>
      <w:r>
        <w:t>Second page remains readable</w:t>
      </w:r>
    </w:p>
    <w:sectPr>
      <w:pgSz w:w="11906" w:h="16838"/>
      <w:pgMar w:top="1440" w:bottom="1440" w:left="1440" w:right="1440"/>
    </w:sectPr>
  </w:body>
</w:document>
</file>